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92" w:rsidRDefault="007E3225">
      <w:pPr>
        <w:spacing w:before="340" w:line="360" w:lineRule="auto"/>
        <w:rPr>
          <w:rFonts w:ascii="Trebuchet MS" w:eastAsia="Trebuchet MS" w:hAnsi="Trebuchet MS" w:cs="Trebuchet MS"/>
          <w:b/>
          <w:color w:val="333333"/>
          <w:sz w:val="24"/>
          <w:szCs w:val="24"/>
        </w:rPr>
      </w:pPr>
      <w:r>
        <w:rPr>
          <w:rFonts w:ascii="Trebuchet MS" w:eastAsia="Trebuchet MS" w:hAnsi="Trebuchet MS" w:cs="Trebuchet MS"/>
          <w:b/>
          <w:color w:val="333333"/>
          <w:sz w:val="24"/>
          <w:szCs w:val="24"/>
        </w:rPr>
        <w:t>APPENDIX A Missouri School Improvement Program</w:t>
      </w:r>
    </w:p>
    <w:p w:rsidR="00A14592" w:rsidRDefault="007E3225">
      <w:pPr>
        <w:spacing w:before="340" w:line="360" w:lineRule="auto"/>
        <w:rPr>
          <w:rFonts w:ascii="Trebuchet MS" w:eastAsia="Trebuchet MS" w:hAnsi="Trebuchet MS" w:cs="Trebuchet MS"/>
          <w:i/>
          <w:color w:val="333333"/>
          <w:sz w:val="24"/>
          <w:szCs w:val="24"/>
        </w:rPr>
      </w:pPr>
      <w:r>
        <w:rPr>
          <w:rFonts w:ascii="Trebuchet MS" w:eastAsia="Trebuchet MS" w:hAnsi="Trebuchet MS" w:cs="Trebuchet MS"/>
          <w:i/>
          <w:color w:val="333333"/>
          <w:sz w:val="24"/>
          <w:szCs w:val="24"/>
        </w:rPr>
        <w:t>MSIP–5 Performance Standards and Indicators</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b/>
          <w:color w:val="333333"/>
          <w:sz w:val="24"/>
          <w:szCs w:val="24"/>
        </w:rPr>
        <w:t>1. Academic Achievement</w:t>
      </w:r>
      <w:r>
        <w:rPr>
          <w:rFonts w:ascii="Trebuchet MS" w:eastAsia="Trebuchet MS" w:hAnsi="Trebuchet MS" w:cs="Trebuchet MS"/>
          <w:color w:val="333333"/>
          <w:sz w:val="24"/>
          <w:szCs w:val="24"/>
        </w:rPr>
        <w:t>—the</w:t>
      </w:r>
      <w:r>
        <w:rPr>
          <w:rFonts w:ascii="Trebuchet MS" w:eastAsia="Trebuchet MS" w:hAnsi="Trebuchet MS" w:cs="Trebuchet MS"/>
          <w:color w:val="333333"/>
          <w:sz w:val="24"/>
          <w:szCs w:val="24"/>
        </w:rPr>
        <w:t xml:space="preserve"> district administers assessments required by the MAP to measure academic achievement and demonstrates improvement in the performance of its students over time.</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A. Student performance on assessments required by the MAP meets or exceeds the state standa</w:t>
      </w:r>
      <w:r>
        <w:rPr>
          <w:rFonts w:ascii="Trebuchet MS" w:eastAsia="Trebuchet MS" w:hAnsi="Trebuchet MS" w:cs="Trebuchet MS"/>
          <w:color w:val="333333"/>
          <w:sz w:val="24"/>
          <w:szCs w:val="24"/>
        </w:rPr>
        <w:t>rd or demonstrates improvement in performance over time.</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B. The percent of students tested on each required MAP assessment meets or exceeds the state standard.</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C. Growth data indicate that students meet or exceed growth expectations.</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b/>
          <w:color w:val="333333"/>
          <w:sz w:val="24"/>
          <w:szCs w:val="24"/>
        </w:rPr>
        <w:t xml:space="preserve"> 2. Subgroup Achieveme</w:t>
      </w:r>
      <w:r>
        <w:rPr>
          <w:rFonts w:ascii="Trebuchet MS" w:eastAsia="Trebuchet MS" w:hAnsi="Trebuchet MS" w:cs="Trebuchet MS"/>
          <w:b/>
          <w:color w:val="333333"/>
          <w:sz w:val="24"/>
          <w:szCs w:val="24"/>
        </w:rPr>
        <w:t>nt</w:t>
      </w:r>
      <w:r>
        <w:rPr>
          <w:rFonts w:ascii="Trebuchet MS" w:eastAsia="Trebuchet MS" w:hAnsi="Trebuchet MS" w:cs="Trebuchet MS"/>
          <w:color w:val="333333"/>
          <w:sz w:val="24"/>
          <w:szCs w:val="24"/>
        </w:rPr>
        <w:t>—</w:t>
      </w:r>
      <w:bookmarkStart w:id="0" w:name="_GoBack"/>
      <w:bookmarkEnd w:id="0"/>
      <w:r>
        <w:rPr>
          <w:rFonts w:ascii="Trebuchet MS" w:eastAsia="Trebuchet MS" w:hAnsi="Trebuchet MS" w:cs="Trebuchet MS"/>
          <w:color w:val="333333"/>
          <w:sz w:val="24"/>
          <w:szCs w:val="24"/>
        </w:rPr>
        <w:t>the</w:t>
      </w:r>
      <w:r>
        <w:rPr>
          <w:rFonts w:ascii="Trebuchet MS" w:eastAsia="Trebuchet MS" w:hAnsi="Trebuchet MS" w:cs="Trebuchet MS"/>
          <w:color w:val="333333"/>
          <w:sz w:val="24"/>
          <w:szCs w:val="24"/>
        </w:rPr>
        <w:t xml:space="preserve"> district demonstrates required improvement in student performance for its subgroups.</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A. The performance of students identified on each assessment in identified subgroups, including free/reduced price lunch, racial/ethnic background, English language</w:t>
      </w:r>
      <w:r>
        <w:rPr>
          <w:rFonts w:ascii="Trebuchet MS" w:eastAsia="Trebuchet MS" w:hAnsi="Trebuchet MS" w:cs="Trebuchet MS"/>
          <w:color w:val="333333"/>
          <w:sz w:val="24"/>
          <w:szCs w:val="24"/>
        </w:rPr>
        <w:t xml:space="preserve"> learners, and students with disabilities, meets or exceeds the state standard or demonstrates required improvement.</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b/>
          <w:color w:val="333333"/>
          <w:sz w:val="24"/>
          <w:szCs w:val="24"/>
        </w:rPr>
        <w:t xml:space="preserve">The MAP Performance Index (MPI) </w:t>
      </w:r>
      <w:r>
        <w:rPr>
          <w:rFonts w:ascii="Trebuchet MS" w:eastAsia="Trebuchet MS" w:hAnsi="Trebuchet MS" w:cs="Trebuchet MS"/>
          <w:color w:val="333333"/>
          <w:sz w:val="24"/>
          <w:szCs w:val="24"/>
        </w:rPr>
        <w:t>is used to develop scores within the Status and Progress metrics and to set academic achievement targets fo</w:t>
      </w:r>
      <w:r>
        <w:rPr>
          <w:rFonts w:ascii="Trebuchet MS" w:eastAsia="Trebuchet MS" w:hAnsi="Trebuchet MS" w:cs="Trebuchet MS"/>
          <w:color w:val="333333"/>
          <w:sz w:val="24"/>
          <w:szCs w:val="24"/>
        </w:rPr>
        <w:t>r LEA, school and student group achievement. Student performance on tests administered through the MAP is reported in terms of four (4) achievement levels (Below Basic, Basic, Proficient and Advanced) that describe a pathway to proficiency. The MPI is a si</w:t>
      </w:r>
      <w:r>
        <w:rPr>
          <w:rFonts w:ascii="Trebuchet MS" w:eastAsia="Trebuchet MS" w:hAnsi="Trebuchet MS" w:cs="Trebuchet MS"/>
          <w:color w:val="333333"/>
          <w:sz w:val="24"/>
          <w:szCs w:val="24"/>
        </w:rPr>
        <w:t xml:space="preserve">ngle composite number that represents the MAP assessment performance of every student by awarding points to each student based on the four (4) achievement levels. The points for all students in the LEA, school or student group in a subject area are summed </w:t>
      </w:r>
      <w:r>
        <w:rPr>
          <w:rFonts w:ascii="Trebuchet MS" w:eastAsia="Trebuchet MS" w:hAnsi="Trebuchet MS" w:cs="Trebuchet MS"/>
          <w:color w:val="333333"/>
          <w:sz w:val="24"/>
          <w:szCs w:val="24"/>
        </w:rPr>
        <w:lastRenderedPageBreak/>
        <w:t>together, divided by the number of students in the group being measured and then multiplied by 100 rounded to the tenth. The result is the MPI for that group and subject. All assessment results from a single accountability year and for a single subject/con</w:t>
      </w:r>
      <w:r>
        <w:rPr>
          <w:rFonts w:ascii="Trebuchet MS" w:eastAsia="Trebuchet MS" w:hAnsi="Trebuchet MS" w:cs="Trebuchet MS"/>
          <w:color w:val="333333"/>
          <w:sz w:val="24"/>
          <w:szCs w:val="24"/>
        </w:rPr>
        <w:t>tent area are combined when generating the LEA, school, or student group MPI.</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MPI Point Values Numeric values are assigned to each of the achievement level scores as follows:</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Achievement Level Index Point Value</w:t>
      </w:r>
    </w:p>
    <w:p w:rsidR="00A14592" w:rsidRDefault="007E3225">
      <w:pPr>
        <w:spacing w:before="340" w:line="360" w:lineRule="auto"/>
        <w:rPr>
          <w:rFonts w:ascii="Trebuchet MS" w:eastAsia="Trebuchet MS" w:hAnsi="Trebuchet MS" w:cs="Trebuchet MS"/>
          <w:i/>
          <w:color w:val="333333"/>
          <w:sz w:val="24"/>
          <w:szCs w:val="24"/>
        </w:rPr>
      </w:pPr>
      <w:r>
        <w:rPr>
          <w:rFonts w:ascii="Trebuchet MS" w:eastAsia="Trebuchet MS" w:hAnsi="Trebuchet MS" w:cs="Trebuchet MS"/>
          <w:i/>
          <w:color w:val="333333"/>
          <w:sz w:val="24"/>
          <w:szCs w:val="24"/>
        </w:rPr>
        <w:t>Below Basic 1</w:t>
      </w:r>
    </w:p>
    <w:p w:rsidR="00A14592" w:rsidRDefault="007E3225">
      <w:pPr>
        <w:spacing w:before="340" w:line="360" w:lineRule="auto"/>
        <w:rPr>
          <w:rFonts w:ascii="Trebuchet MS" w:eastAsia="Trebuchet MS" w:hAnsi="Trebuchet MS" w:cs="Trebuchet MS"/>
          <w:i/>
          <w:color w:val="333333"/>
          <w:sz w:val="24"/>
          <w:szCs w:val="24"/>
        </w:rPr>
      </w:pPr>
      <w:r>
        <w:rPr>
          <w:rFonts w:ascii="Trebuchet MS" w:eastAsia="Trebuchet MS" w:hAnsi="Trebuchet MS" w:cs="Trebuchet MS"/>
          <w:i/>
          <w:color w:val="333333"/>
          <w:sz w:val="24"/>
          <w:szCs w:val="24"/>
        </w:rPr>
        <w:t>Basic 3</w:t>
      </w:r>
    </w:p>
    <w:p w:rsidR="00A14592" w:rsidRDefault="007E3225">
      <w:pPr>
        <w:spacing w:before="340" w:line="360" w:lineRule="auto"/>
        <w:rPr>
          <w:rFonts w:ascii="Trebuchet MS" w:eastAsia="Trebuchet MS" w:hAnsi="Trebuchet MS" w:cs="Trebuchet MS"/>
          <w:i/>
          <w:color w:val="333333"/>
          <w:sz w:val="24"/>
          <w:szCs w:val="24"/>
        </w:rPr>
      </w:pPr>
      <w:r>
        <w:rPr>
          <w:rFonts w:ascii="Trebuchet MS" w:eastAsia="Trebuchet MS" w:hAnsi="Trebuchet MS" w:cs="Trebuchet MS"/>
          <w:i/>
          <w:color w:val="333333"/>
          <w:sz w:val="24"/>
          <w:szCs w:val="24"/>
        </w:rPr>
        <w:t>Proficient 4</w:t>
      </w:r>
    </w:p>
    <w:p w:rsidR="00A14592" w:rsidRDefault="007E3225">
      <w:pPr>
        <w:spacing w:before="340" w:line="360" w:lineRule="auto"/>
        <w:rPr>
          <w:rFonts w:ascii="Trebuchet MS" w:eastAsia="Trebuchet MS" w:hAnsi="Trebuchet MS" w:cs="Trebuchet MS"/>
          <w:i/>
          <w:color w:val="333333"/>
          <w:sz w:val="24"/>
          <w:szCs w:val="24"/>
        </w:rPr>
      </w:pPr>
      <w:r>
        <w:rPr>
          <w:rFonts w:ascii="Trebuchet MS" w:eastAsia="Trebuchet MS" w:hAnsi="Trebuchet MS" w:cs="Trebuchet MS"/>
          <w:i/>
          <w:color w:val="333333"/>
          <w:sz w:val="24"/>
          <w:szCs w:val="24"/>
        </w:rPr>
        <w:t>Advanced 5</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 xml:space="preserve">Assigning one (1) point to the Below Basic achievement level and three (3) points for the Basic achievement level </w:t>
      </w:r>
      <w:proofErr w:type="gramStart"/>
      <w:r>
        <w:rPr>
          <w:rFonts w:ascii="Trebuchet MS" w:eastAsia="Trebuchet MS" w:hAnsi="Trebuchet MS" w:cs="Trebuchet MS"/>
          <w:color w:val="333333"/>
          <w:sz w:val="24"/>
          <w:szCs w:val="24"/>
        </w:rPr>
        <w:t>supports</w:t>
      </w:r>
      <w:proofErr w:type="gramEnd"/>
      <w:r>
        <w:rPr>
          <w:rFonts w:ascii="Trebuchet MS" w:eastAsia="Trebuchet MS" w:hAnsi="Trebuchet MS" w:cs="Trebuchet MS"/>
          <w:color w:val="333333"/>
          <w:sz w:val="24"/>
          <w:szCs w:val="24"/>
        </w:rPr>
        <w:t xml:space="preserve"> Missouri’s expectation of placing every child on a path towards Proficiency.</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https://dese.mo.gov/sites/default/files/msip5-glossary-</w:t>
      </w:r>
      <w:r>
        <w:rPr>
          <w:rFonts w:ascii="Trebuchet MS" w:eastAsia="Trebuchet MS" w:hAnsi="Trebuchet MS" w:cs="Trebuchet MS"/>
          <w:color w:val="333333"/>
          <w:sz w:val="24"/>
          <w:szCs w:val="24"/>
        </w:rPr>
        <w:t>of-terms.pdf</w:t>
      </w:r>
    </w:p>
    <w:p w:rsidR="00A14592" w:rsidRDefault="00A14592">
      <w:pPr>
        <w:spacing w:before="340" w:line="360" w:lineRule="auto"/>
        <w:rPr>
          <w:rFonts w:ascii="Trebuchet MS" w:eastAsia="Trebuchet MS" w:hAnsi="Trebuchet MS" w:cs="Trebuchet MS"/>
          <w:color w:val="333333"/>
          <w:sz w:val="24"/>
          <w:szCs w:val="24"/>
        </w:rPr>
      </w:pPr>
    </w:p>
    <w:p w:rsidR="00A14592" w:rsidRDefault="00A14592">
      <w:pPr>
        <w:spacing w:before="340" w:line="360" w:lineRule="auto"/>
        <w:rPr>
          <w:rFonts w:ascii="Trebuchet MS" w:eastAsia="Trebuchet MS" w:hAnsi="Trebuchet MS" w:cs="Trebuchet MS"/>
          <w:color w:val="333333"/>
          <w:sz w:val="24"/>
          <w:szCs w:val="24"/>
        </w:rPr>
      </w:pPr>
    </w:p>
    <w:p w:rsidR="00A14592" w:rsidRDefault="00A14592">
      <w:pPr>
        <w:spacing w:before="340" w:line="360" w:lineRule="auto"/>
        <w:rPr>
          <w:rFonts w:ascii="Trebuchet MS" w:eastAsia="Trebuchet MS" w:hAnsi="Trebuchet MS" w:cs="Trebuchet MS"/>
          <w:color w:val="333333"/>
          <w:sz w:val="24"/>
          <w:szCs w:val="24"/>
        </w:rPr>
      </w:pP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 xml:space="preserve">In our district, we do use Advanced and Proficient percentages to help determine our effectiveness in helping students reach proficiency status, but strongly feel using MPI </w:t>
      </w:r>
      <w:r>
        <w:rPr>
          <w:rFonts w:ascii="Trebuchet MS" w:eastAsia="Trebuchet MS" w:hAnsi="Trebuchet MS" w:cs="Trebuchet MS"/>
          <w:color w:val="333333"/>
          <w:sz w:val="24"/>
          <w:szCs w:val="24"/>
        </w:rPr>
        <w:lastRenderedPageBreak/>
        <w:t>scores gives us a more accurate overall view of our effectiveness f</w:t>
      </w:r>
      <w:r>
        <w:rPr>
          <w:rFonts w:ascii="Trebuchet MS" w:eastAsia="Trebuchet MS" w:hAnsi="Trebuchet MS" w:cs="Trebuchet MS"/>
          <w:color w:val="333333"/>
          <w:sz w:val="24"/>
          <w:szCs w:val="24"/>
        </w:rPr>
        <w:t xml:space="preserve">or every child, and holds us to an even higher academic responsibility. </w:t>
      </w:r>
    </w:p>
    <w:p w:rsidR="00A14592" w:rsidRDefault="007E3225">
      <w:pPr>
        <w:spacing w:before="340" w:line="36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 xml:space="preserve">Our school is measured by Super subgroup (high needs group is an unduplicated count of all students in a school or LEA belonging to at least one of the following individual </w:t>
      </w:r>
      <w:proofErr w:type="spellStart"/>
      <w:r>
        <w:rPr>
          <w:rFonts w:ascii="Trebuchet MS" w:eastAsia="Trebuchet MS" w:hAnsi="Trebuchet MS" w:cs="Trebuchet MS"/>
          <w:color w:val="333333"/>
          <w:sz w:val="24"/>
          <w:szCs w:val="24"/>
        </w:rPr>
        <w:t>subgroups</w:t>
      </w:r>
      <w:proofErr w:type="gramStart"/>
      <w:r>
        <w:rPr>
          <w:rFonts w:ascii="Trebuchet MS" w:eastAsia="Trebuchet MS" w:hAnsi="Trebuchet MS" w:cs="Trebuchet MS"/>
          <w:color w:val="333333"/>
          <w:sz w:val="24"/>
          <w:szCs w:val="24"/>
        </w:rPr>
        <w:t>:</w:t>
      </w:r>
      <w:r>
        <w:rPr>
          <w:rFonts w:ascii="Trebuchet MS" w:eastAsia="Trebuchet MS" w:hAnsi="Trebuchet MS" w:cs="Trebuchet MS"/>
          <w:color w:val="333333"/>
          <w:sz w:val="24"/>
          <w:szCs w:val="24"/>
        </w:rPr>
        <w:t>Black</w:t>
      </w:r>
      <w:proofErr w:type="spellEnd"/>
      <w:proofErr w:type="gramEnd"/>
      <w:r>
        <w:rPr>
          <w:rFonts w:ascii="Trebuchet MS" w:eastAsia="Trebuchet MS" w:hAnsi="Trebuchet MS" w:cs="Trebuchet MS"/>
          <w:color w:val="333333"/>
          <w:sz w:val="24"/>
          <w:szCs w:val="24"/>
        </w:rPr>
        <w:t xml:space="preserve">, Hispanic, IEP (students with disabilities), English Language Learners, or Free/reduced price lunch (low income students who are eligible for FRL).   </w:t>
      </w:r>
      <w:proofErr w:type="gramStart"/>
      <w:r>
        <w:rPr>
          <w:rFonts w:ascii="Trebuchet MS" w:eastAsia="Trebuchet MS" w:hAnsi="Trebuchet MS" w:cs="Trebuchet MS"/>
          <w:color w:val="333333"/>
          <w:sz w:val="24"/>
          <w:szCs w:val="24"/>
        </w:rPr>
        <w:t>Achievement, in addition to our Overall Academic Achievement (all students).</w:t>
      </w:r>
      <w:proofErr w:type="gramEnd"/>
      <w:r>
        <w:rPr>
          <w:rFonts w:ascii="Trebuchet MS" w:eastAsia="Trebuchet MS" w:hAnsi="Trebuchet MS" w:cs="Trebuchet MS"/>
          <w:color w:val="333333"/>
          <w:sz w:val="24"/>
          <w:szCs w:val="24"/>
        </w:rPr>
        <w:t xml:space="preserve"> </w:t>
      </w:r>
      <w:proofErr w:type="gramStart"/>
      <w:r>
        <w:rPr>
          <w:rFonts w:ascii="Trebuchet MS" w:eastAsia="Trebuchet MS" w:hAnsi="Trebuchet MS" w:cs="Trebuchet MS"/>
          <w:color w:val="333333"/>
          <w:sz w:val="24"/>
          <w:szCs w:val="24"/>
        </w:rPr>
        <w:t>Our district's two larg</w:t>
      </w:r>
      <w:r>
        <w:rPr>
          <w:rFonts w:ascii="Trebuchet MS" w:eastAsia="Trebuchet MS" w:hAnsi="Trebuchet MS" w:cs="Trebuchet MS"/>
          <w:color w:val="333333"/>
          <w:sz w:val="24"/>
          <w:szCs w:val="24"/>
        </w:rPr>
        <w:t>est subgroup</w:t>
      </w:r>
      <w:proofErr w:type="gramEnd"/>
      <w:r>
        <w:rPr>
          <w:rFonts w:ascii="Trebuchet MS" w:eastAsia="Trebuchet MS" w:hAnsi="Trebuchet MS" w:cs="Trebuchet MS"/>
          <w:color w:val="333333"/>
          <w:sz w:val="24"/>
          <w:szCs w:val="24"/>
        </w:rPr>
        <w:t xml:space="preserve"> consists of Free/Reduced and students with disabilities. Consistent with most all schools in the state, our Subgroup students typically score lower than our Overall Academic Achievement. Our continued deliberate focus on increasing the academi</w:t>
      </w:r>
      <w:r>
        <w:rPr>
          <w:rFonts w:ascii="Trebuchet MS" w:eastAsia="Trebuchet MS" w:hAnsi="Trebuchet MS" w:cs="Trebuchet MS"/>
          <w:color w:val="333333"/>
          <w:sz w:val="24"/>
          <w:szCs w:val="24"/>
        </w:rPr>
        <w:t xml:space="preserve">c achievement for ALL STUDENTS have helped our Subgroup population often  outperform the overall academic average of many school districts around our county and throughout the state. </w:t>
      </w:r>
    </w:p>
    <w:p w:rsidR="00A14592" w:rsidRDefault="00A14592"/>
    <w:sectPr w:rsidR="00A145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4592"/>
    <w:rsid w:val="005211F2"/>
    <w:rsid w:val="007E3225"/>
    <w:rsid w:val="00A1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Kearns</dc:creator>
  <cp:lastModifiedBy>user</cp:lastModifiedBy>
  <cp:revision>3</cp:revision>
  <dcterms:created xsi:type="dcterms:W3CDTF">2019-01-31T16:02:00Z</dcterms:created>
  <dcterms:modified xsi:type="dcterms:W3CDTF">2019-01-31T16:03:00Z</dcterms:modified>
</cp:coreProperties>
</file>